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377368">
        <w:rPr>
          <w:rFonts w:ascii="Lucida Sans" w:hAnsi="Lucida Sans" w:cs="Lucida Sans"/>
          <w:b/>
          <w:bCs/>
          <w:sz w:val="36"/>
          <w:szCs w:val="36"/>
        </w:rPr>
        <w:t>28</w:t>
      </w:r>
      <w:r w:rsidR="009A399C">
        <w:rPr>
          <w:rFonts w:ascii="Lucida Sans" w:hAnsi="Lucida Sans" w:cs="Lucida Sans"/>
          <w:b/>
          <w:bCs/>
          <w:sz w:val="36"/>
          <w:szCs w:val="36"/>
        </w:rPr>
        <w:t>.05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377368">
        <w:rPr>
          <w:rFonts w:ascii="Lucida Sans" w:hAnsi="Lucida Sans" w:cs="Lucida Sans"/>
          <w:b/>
          <w:bCs/>
          <w:sz w:val="36"/>
          <w:szCs w:val="36"/>
        </w:rPr>
        <w:t>01.06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C3642" w:rsidRPr="008940A3" w:rsidRDefault="002C364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AE0A23" w:rsidRPr="00AB482F" w:rsidRDefault="00AE0A23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83D7E" w:rsidRPr="001E70D0" w:rsidRDefault="00B83D7E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447B6C" w:rsidRDefault="00377368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Vollkornspirelli,</w:t>
            </w:r>
          </w:p>
          <w:p w:rsidR="00377368" w:rsidRDefault="00377368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Spinat</w:t>
            </w:r>
          </w:p>
          <w:p w:rsidR="00377368" w:rsidRDefault="00377368" w:rsidP="002C364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377368" w:rsidRPr="00377368" w:rsidRDefault="00377368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Möhrensticks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47B6C" w:rsidRDefault="00377368" w:rsidP="00447B6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Zucchinipuffer,</w:t>
            </w:r>
          </w:p>
          <w:p w:rsidR="00377368" w:rsidRDefault="00377368" w:rsidP="00447B6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Kräuterquark</w:t>
            </w:r>
          </w:p>
          <w:p w:rsidR="00377368" w:rsidRPr="00377368" w:rsidRDefault="00377368" w:rsidP="00447B6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A1,I,J,C,G</w:t>
            </w:r>
          </w:p>
          <w:p w:rsidR="00377368" w:rsidRPr="00447B6C" w:rsidRDefault="00377368" w:rsidP="00447B6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Default="0037736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Gemüsesuppe mit Buchstabennudeln</w:t>
            </w:r>
          </w:p>
          <w:p w:rsidR="007D5C4E" w:rsidRPr="007D5C4E" w:rsidRDefault="00377368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</w:t>
            </w:r>
            <w:r w:rsidR="007D5C4E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</w:p>
          <w:p w:rsidR="007D5C4E" w:rsidRDefault="0037736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  <w:r w:rsidR="00CD7E1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A05A8" w:rsidRPr="00377368" w:rsidRDefault="00377368" w:rsidP="00243E87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8"/>
              </w:rPr>
            </w:pPr>
            <w:r w:rsidRPr="00377368">
              <w:rPr>
                <w:rFonts w:ascii="Comic Sans MS" w:hAnsi="Comic Sans MS"/>
                <w:b/>
                <w:color w:val="FF0000"/>
                <w:sz w:val="24"/>
                <w:szCs w:val="28"/>
              </w:rPr>
              <w:t>Feiertag</w:t>
            </w:r>
          </w:p>
          <w:p w:rsidR="00377368" w:rsidRPr="00377368" w:rsidRDefault="00377368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377368">
              <w:rPr>
                <w:rFonts w:ascii="Comic Sans MS" w:hAnsi="Comic Sans MS"/>
                <w:b/>
                <w:color w:val="FF0000"/>
                <w:sz w:val="24"/>
                <w:szCs w:val="28"/>
              </w:rPr>
              <w:t>Einrichtung geschlossen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A05A8" w:rsidRDefault="00377368" w:rsidP="0037736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Reis, Putenschnitzel, Currysauce</w:t>
            </w:r>
          </w:p>
          <w:p w:rsidR="00377368" w:rsidRDefault="00377368" w:rsidP="0037736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A1,I,J,C</w:t>
            </w:r>
          </w:p>
          <w:p w:rsidR="00377368" w:rsidRDefault="00377368" w:rsidP="0037736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Tomate-Mozzarella-Salat</w:t>
            </w:r>
          </w:p>
          <w:p w:rsidR="00377368" w:rsidRPr="00377368" w:rsidRDefault="00377368" w:rsidP="0037736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G</w:t>
            </w:r>
          </w:p>
          <w:p w:rsidR="00377368" w:rsidRPr="00377368" w:rsidRDefault="00377368" w:rsidP="0037736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163F5" w:rsidRDefault="0037736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377368" w:rsidRPr="00377368" w:rsidRDefault="00377368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A399C" w:rsidRPr="00447B6C" w:rsidRDefault="0037736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744933" w:rsidRDefault="00B83D7E" w:rsidP="0037736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663225" w:rsidRDefault="0066322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42" w:rsidRDefault="00907742" w:rsidP="00A82A9A">
      <w:pPr>
        <w:spacing w:after="0" w:line="240" w:lineRule="auto"/>
      </w:pPr>
      <w:r>
        <w:separator/>
      </w:r>
    </w:p>
  </w:endnote>
  <w:endnote w:type="continuationSeparator" w:id="0">
    <w:p w:rsidR="00907742" w:rsidRDefault="0090774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42" w:rsidRDefault="00907742" w:rsidP="00A82A9A">
      <w:pPr>
        <w:spacing w:after="0" w:line="240" w:lineRule="auto"/>
      </w:pPr>
      <w:r>
        <w:separator/>
      </w:r>
    </w:p>
  </w:footnote>
  <w:footnote w:type="continuationSeparator" w:id="0">
    <w:p w:rsidR="00907742" w:rsidRDefault="0090774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1466-F498-4301-B733-645777DC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2018-05-24T07:50:00Z</cp:lastPrinted>
  <dcterms:created xsi:type="dcterms:W3CDTF">2018-05-24T07:51:00Z</dcterms:created>
  <dcterms:modified xsi:type="dcterms:W3CDTF">2018-05-24T07:51:00Z</dcterms:modified>
</cp:coreProperties>
</file>